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Litsentsileping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Nimi</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Aadress: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keda esindab käesolevale lepingule alla kirjutama volitatud esindajana</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[hr/pr] [Nimi, ameti-/kutsenimetus],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edaspidi „</w:t>
      </w:r>
      <w:r>
        <w:rPr>
          <w:rFonts w:ascii="Calibri" w:hAnsi="Calibri"/>
          <w:b/>
          <w:sz w:val="22"/>
          <w:szCs w:val="22"/>
        </w:rPr>
        <w:t>litsentsiandja</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ühelt poolt ning</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Euroopa Liit, keda esindab Euroopa Komisjon, asukohaga 200, Rue de la Loi, 1049 Brüssel, Belgia (edaspidi „</w:t>
      </w:r>
      <w:r>
        <w:rPr>
          <w:rFonts w:ascii="Calibri" w:hAnsi="Calibri"/>
          <w:b/>
          <w:sz w:val="22"/>
          <w:szCs w:val="22"/>
        </w:rPr>
        <w:t>litsentsisaaja</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teiselt poolt,</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edaspidi koos „lepinguosalised“.</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Arvestades et litsentsiandja on allpool kirjeldatud teose (edaspidi</w:t>
      </w:r>
      <w:r>
        <w:rPr>
          <w:rFonts w:ascii="Calibri" w:hAnsi="Calibri"/>
          <w:b/>
          <w:smallCaps/>
          <w:sz w:val="22"/>
          <w:szCs w:val="22"/>
          <w:u w:val="single"/>
        </w:rPr>
        <w:t xml:space="preserve"> </w:t>
      </w:r>
      <w:r>
        <w:rPr>
          <w:rFonts w:ascii="Calibri" w:hAnsi="Calibri"/>
          <w:sz w:val="22"/>
          <w:szCs w:val="22"/>
        </w:rPr>
        <w:t>„teos“) omanik või tal on seaduslik õigus anda käesolev litsents selle kasutamiseks, lepivad pooled kokku järgmises:</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Video(te) pealkiri ja lühikirjeldus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 kestus:</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Video omanik ja autor (juhul, kui need on erinevad):</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Videos osalevate näitlejate nimed:</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Teose loomise aasta(d)</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Litsentsiandja annab litsentsisaajale teose kasutamiseks litsentsitasuta, üleandmis- ja all-litsentsimisõigusega ülemaailmse lihtlitsentsi.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Teose kasutamise õigus hõlmab peamiselt õigust teost taasesitada, salvestada, jagada, muuta, avaldada, kuvada, avalikustada, luua tuletatud teoseid, levitada, üldsusele edastada või muul viisil üldsusele kättesaadavaks teha mis tahes vormis, andmekandjal ja keeles, sealhulgas Euroopa Liidu veebisaitidel ja ametlikes sotsiaalmeediakanalites või kolmandate isikute veebisaitidel ja televisioonis.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Kahtluste vältimiseks on litsentsisaajal lubatud: lisada teosele heli või uusi elemente (lõike, pealkirju, juhtlõike, esiletõsteid, legende, sisukordi, kokkuvõtteid, illustratsioone ja subtiitreid kõigis ELi ametlikes keeltes), koostada teost sisaldavaid esitlusi, animatsioone, piktogramme ja slaidiesitlusi, teha teosest väljavõtteid või jagada see osadeks, arhiveerida teos või lisada see Euroopa Komisjoni andmebaasidesse, sealhulgas üldsusele tasuta kättesaadavatesse elektroonilistesse andmebaasidesse, ning kasutada seda mis tahes muul eesmärgil, mis on vajalik Euroopa Liidu ülesannete täitmiseks.</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Litsentsisaaja võib lubada oma töötajatel või alltöövõtjatel enda nimel kasutada eespool nimetatud õigusi, mille litsentsiandja on talle andnud. </w:t>
      </w:r>
    </w:p>
    <w:p w14:paraId="5E9C1ADB" w14:textId="0F213293" w:rsidR="0063439C" w:rsidRPr="005D025C" w:rsidRDefault="0048031B" w:rsidP="0048031B">
      <w:pPr>
        <w:numPr>
          <w:ilvl w:val="0"/>
          <w:numId w:val="3"/>
        </w:numPr>
        <w:spacing w:after="120"/>
        <w:jc w:val="both"/>
        <w:rPr>
          <w:rFonts w:ascii="Calibri" w:hAnsi="Calibri" w:cs="Calibri"/>
          <w:sz w:val="22"/>
          <w:szCs w:val="22"/>
        </w:rPr>
      </w:pPr>
      <w:r w:rsidRPr="0048031B">
        <w:rPr>
          <w:rFonts w:ascii="Calibri" w:hAnsi="Calibri"/>
          <w:sz w:val="22"/>
          <w:szCs w:val="22"/>
        </w:rPr>
        <w:t>Ei kohaldata</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Litsents antakse kogu autoriõiguse ja vajaduse korral sellega kaasnevate õiguste kehtivusajaks.</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Kõik teosega seotud autoriõigused ja muud intellektuaalomandiõigused jäävad litsentsiandja omandiks ja litsentsisaaja ei omanda nende suhtes mingeid omandiõigusi.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Tuletatud teosed hõlmavad litsentsisaaja või tema alltöövõtjate loodud originaalteoseid, mille loomisel on teost kasutatud. Ilma et see piiraks eelöeldut, kuuluvad tuletatud teosed litsentsisaajale.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Litsentsisaajale antud õiguste teostamise korral peab litsentsisaaja viitama litsentsiandjale ja teose autorile järgmise märkega: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[Litsentsiandja autoriõiguse märge – näide: © Litsentsiandja, aasta]</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0C412D95" w:rsidR="002951B0" w:rsidRPr="005225CE" w:rsidRDefault="0048031B" w:rsidP="0048031B">
      <w:pPr>
        <w:numPr>
          <w:ilvl w:val="0"/>
          <w:numId w:val="3"/>
        </w:numPr>
        <w:spacing w:after="120"/>
        <w:jc w:val="both"/>
        <w:rPr>
          <w:rFonts w:ascii="Calibri" w:hAnsi="Calibri" w:cs="Calibri"/>
          <w:sz w:val="22"/>
          <w:szCs w:val="22"/>
        </w:rPr>
      </w:pPr>
      <w:r w:rsidRPr="0048031B">
        <w:rPr>
          <w:rFonts w:ascii="Calibri" w:hAnsi="Calibri"/>
          <w:sz w:val="22"/>
          <w:szCs w:val="22"/>
        </w:rPr>
        <w:t>Ei kohaldata</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Litsentsiandja tagab, et tal on kõik vajalikud load, et litsentsida eespool nimetatud õigusi, ning kinnitab, et ta on saanud autoriõiguse ja sellega kaasnevate õiguste ning teosega seotud muude intellektuaalomandiõiguste omanikelt nõuetekohased load, ning vajaduse korral teosel kujutatud isikute kirjaliku loa.</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Litsentsiandja kinnitab, et käesoleva lepinguga litsentsisaajale litsentsitud intellektuaalomandiõiguste kasutamine ei kahjusta kolmandate isikute õigusi ei nüüd ega edaspidi. Muu hulgas kinnitab litsentsiandja eelkõige, et teos ei kahjusta kolmandate isikute autoriõigusi ega kaasnevaid õigusi või kujutise kasutusõigusi.</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Litsentsiandja kohustub litsentsisaajale hüvitama tekkiva kahju, kaitsma teda nõuete, nõudmiste ja hagide eest, vabastama ta nendega seotud vastutusest ning korvama kulud, sealhulgas õigusabikulud, mis on seotud käesoleva lepingu kohaselt litsentsitud intellektuaalomandiõiguste kasutamisest tulenevaid kohustusi käsitlevate kohtuotsuste ja -menetlustega (st juhul, kui kolmas isik esitab Euroopa Komisjonile teose kasutamise eest nõudeid).</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Käesolevaga annab litsentsiandja nõusoleku isikuandmete töötlemiseks ulatuses, mis on vajalik eespool kirjeldatud eesmärkide saavutamiseks. Litsentsisaaja tagab, et isikuandmeid töödeldakse määruses (EL) 2018/1725 sätestatud eeskirjade kohaselt. Litsentsisaaja võib andmeid arhiveerida.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Andmesubjektina on litsentsiandjal õigus tutvuda oma isikuandmetega, saada teavet andmetöötluse toimumise ja ulatuse kohta ning parandada ebaõigeid isikuandmeid. Nende õiguste kasutamiseks võib litsentsiandja võtta ühendust: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[lisada isiku andmed, kellele sellised taotlused tuleb esitada]</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Käesoleva lepinguga antud õiguste kasutamist reguleeritakse ja seda tõlgendatakse kooskõlas Euroopa Liidu õigusega, mida vajaduse korral täiendab Belgia materiaalõigus. Kui litsentsiandja ja litsentsisaaja vahel ei suudeta käesolevast lepingust tulenevaid või sellega seotud vaidlusi, </w:t>
      </w:r>
      <w:r>
        <w:rPr>
          <w:rFonts w:ascii="Calibri" w:hAnsi="Calibri"/>
          <w:sz w:val="22"/>
          <w:szCs w:val="22"/>
        </w:rPr>
        <w:lastRenderedPageBreak/>
        <w:t>erimeelsusi või nõudeid rahumeelselt lahendada, esitatakse need lahendamiseks Brüsselis asuvale kohtule.</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Litsentsiandja nimel</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Koht ja kuupäev:</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Allkiri:</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[Hr/Pr] [Nimi]</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[Vajaduse korral ametikoht/-nimetus]</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48031B">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Juriidilise isiku nimi või füüsilise isiku ees- ja perekonnanimi</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Ainult juriidiliste isikute puhul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Kirjeldus: Kirjeldus: Kirjeldu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31B"/>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0D01"/>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t-EE"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4113F-132A-4227-8B0B-D89437B8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563</Words>
  <Characters>4292</Characters>
  <Application>Microsoft Office Word</Application>
  <DocSecurity>0</DocSecurity>
  <Lines>85</Lines>
  <Paragraphs>38</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4817</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2020-09-14T09:10:00Z</dcterms:modified>
</cp:coreProperties>
</file>